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DCA" w:rsidRPr="003067D2" w:rsidRDefault="00552DCA" w:rsidP="00552DCA">
      <w:pPr>
        <w:pStyle w:val="Nagwek2"/>
        <w:pageBreakBefore/>
      </w:pPr>
      <w:bookmarkStart w:id="0" w:name="_Toc69802479"/>
      <w:bookmarkStart w:id="1" w:name="_Toc502906108"/>
      <w:bookmarkStart w:id="2" w:name="_Toc511207778"/>
      <w:bookmarkStart w:id="3" w:name="_Toc61923079"/>
      <w:bookmarkStart w:id="4" w:name="_GoBack"/>
      <w:bookmarkEnd w:id="4"/>
      <w:r w:rsidRPr="003067D2">
        <w:t>D-02.01.01. Wykonanie wykopów</w:t>
      </w:r>
      <w:bookmarkEnd w:id="0"/>
      <w:bookmarkEnd w:id="1"/>
      <w:bookmarkEnd w:id="2"/>
      <w:r w:rsidRPr="003067D2">
        <w:t xml:space="preserve"> </w:t>
      </w:r>
      <w:bookmarkEnd w:id="3"/>
    </w:p>
    <w:p w:rsidR="00552DCA" w:rsidRPr="003067D2" w:rsidRDefault="00552DCA" w:rsidP="00552DCA">
      <w:pPr>
        <w:spacing w:before="240"/>
        <w:jc w:val="both"/>
        <w:rPr>
          <w:b/>
        </w:rPr>
      </w:pPr>
      <w:bookmarkStart w:id="5" w:name="_Hlk501616441"/>
      <w:r w:rsidRPr="003067D2">
        <w:rPr>
          <w:b/>
        </w:rPr>
        <w:t>1. WSTĘP</w:t>
      </w:r>
    </w:p>
    <w:p w:rsidR="00552DCA" w:rsidRPr="003067D2" w:rsidRDefault="00552DCA" w:rsidP="00552DCA">
      <w:pPr>
        <w:jc w:val="both"/>
        <w:rPr>
          <w:b/>
          <w:u w:val="single"/>
        </w:rPr>
      </w:pPr>
      <w:r w:rsidRPr="003067D2">
        <w:rPr>
          <w:b/>
          <w:u w:val="single"/>
        </w:rPr>
        <w:t>1.1. Przedmiot specyfikacji technicznej (SST)</w:t>
      </w:r>
    </w:p>
    <w:p w:rsidR="00552DCA" w:rsidRPr="003067D2" w:rsidRDefault="00552DCA" w:rsidP="00552DCA">
      <w:pPr>
        <w:pStyle w:val="StandardowytekstZnakZnakZnakZnakZnakZnak"/>
      </w:pPr>
      <w:r w:rsidRPr="003067D2">
        <w:t>Przedmiotem niniejszej SST są wymagania dotyczące wykonania i odbioru wykopów w gruntach nieskalistych, przy opracowaniu dokumentacji projektowej dla prac wymienionych w nagłówku.</w:t>
      </w:r>
    </w:p>
    <w:p w:rsidR="00552DCA" w:rsidRPr="003067D2" w:rsidRDefault="00552DCA" w:rsidP="00552DCA">
      <w:pPr>
        <w:tabs>
          <w:tab w:val="left" w:pos="758"/>
        </w:tabs>
        <w:jc w:val="both"/>
        <w:rPr>
          <w:b/>
          <w:u w:val="single"/>
        </w:rPr>
      </w:pPr>
      <w:r w:rsidRPr="003067D2">
        <w:rPr>
          <w:b/>
          <w:u w:val="single"/>
        </w:rPr>
        <w:t>1.2. Zakres stosowania SST</w:t>
      </w:r>
    </w:p>
    <w:p w:rsidR="00552DCA" w:rsidRPr="003067D2" w:rsidRDefault="00552DCA" w:rsidP="00552DCA">
      <w:pPr>
        <w:pStyle w:val="Tekstpodstawowy"/>
        <w:jc w:val="both"/>
        <w:rPr>
          <w:rFonts w:ascii="Times New Roman" w:hAnsi="Times New Roman"/>
          <w:b w:val="0"/>
        </w:rPr>
      </w:pPr>
      <w:r w:rsidRPr="003067D2">
        <w:rPr>
          <w:rFonts w:ascii="Times New Roman" w:hAnsi="Times New Roman"/>
          <w:b w:val="0"/>
        </w:rPr>
        <w:t xml:space="preserve">SST jest stosowana jako dokument przetargowy i kontraktowy przy zlecaniu i realizacji robót wymienionych w p. 1.1. </w:t>
      </w:r>
    </w:p>
    <w:p w:rsidR="00552DCA" w:rsidRPr="003067D2" w:rsidRDefault="00552DCA" w:rsidP="00552DCA">
      <w:pPr>
        <w:jc w:val="both"/>
        <w:rPr>
          <w:b/>
          <w:u w:val="single"/>
        </w:rPr>
      </w:pPr>
      <w:r w:rsidRPr="003067D2">
        <w:rPr>
          <w:b/>
          <w:u w:val="single"/>
        </w:rPr>
        <w:t>1.3. Zakres robót ujętych w SST</w:t>
      </w:r>
    </w:p>
    <w:p w:rsidR="00552DCA" w:rsidRPr="003067D2" w:rsidRDefault="00552DCA" w:rsidP="00552DCA">
      <w:pPr>
        <w:tabs>
          <w:tab w:val="left" w:pos="753"/>
        </w:tabs>
        <w:jc w:val="both"/>
      </w:pPr>
      <w:r w:rsidRPr="003067D2">
        <w:t>Ustalenia zawarte w niniejszej SST dotyczą prowadzenia robót ziemnych w czasie przebudowy drogi i obejmują wykonanie wykopów w gruntach nieskalistych (kat. I - V).</w:t>
      </w:r>
    </w:p>
    <w:p w:rsidR="00552DCA" w:rsidRPr="003067D2" w:rsidRDefault="00552DCA" w:rsidP="00552DCA">
      <w:pPr>
        <w:tabs>
          <w:tab w:val="left" w:pos="753"/>
        </w:tabs>
        <w:jc w:val="both"/>
        <w:rPr>
          <w:b/>
          <w:u w:val="single"/>
        </w:rPr>
      </w:pPr>
      <w:r w:rsidRPr="003067D2">
        <w:rPr>
          <w:b/>
          <w:u w:val="single"/>
        </w:rPr>
        <w:t>1.4. Określenia podstawowe</w:t>
      </w:r>
    </w:p>
    <w:p w:rsidR="00552DCA" w:rsidRPr="003067D2" w:rsidRDefault="00552DCA" w:rsidP="00552DCA">
      <w:pPr>
        <w:tabs>
          <w:tab w:val="left" w:pos="787"/>
        </w:tabs>
        <w:jc w:val="both"/>
      </w:pPr>
      <w:r w:rsidRPr="003067D2">
        <w:t>Podstawowe określenia zostały podane w SST D-02.00.01 pkt 1.4.</w:t>
      </w:r>
    </w:p>
    <w:p w:rsidR="00552DCA" w:rsidRPr="003067D2" w:rsidRDefault="00552DCA" w:rsidP="00552DCA">
      <w:pPr>
        <w:jc w:val="both"/>
        <w:rPr>
          <w:b/>
          <w:u w:val="single"/>
        </w:rPr>
      </w:pPr>
      <w:r w:rsidRPr="003067D2">
        <w:rPr>
          <w:b/>
          <w:u w:val="single"/>
        </w:rPr>
        <w:t>1.5. Ogólne wymagania dotyczące robót</w:t>
      </w:r>
    </w:p>
    <w:p w:rsidR="00552DCA" w:rsidRPr="003067D2" w:rsidRDefault="00552DCA" w:rsidP="00552DCA">
      <w:pPr>
        <w:jc w:val="both"/>
      </w:pPr>
      <w:r w:rsidRPr="003067D2">
        <w:t>Ogólne wymagania dotyczące robót podano w SST D-02.00.01 pkt 1.5.</w:t>
      </w:r>
    </w:p>
    <w:p w:rsidR="00552DCA" w:rsidRPr="003067D2" w:rsidRDefault="00552DCA" w:rsidP="00552DCA">
      <w:pPr>
        <w:spacing w:before="240"/>
        <w:jc w:val="both"/>
        <w:rPr>
          <w:b/>
        </w:rPr>
      </w:pPr>
      <w:r w:rsidRPr="003067D2">
        <w:rPr>
          <w:b/>
        </w:rPr>
        <w:t>2. MATERIAŁY</w:t>
      </w:r>
    </w:p>
    <w:p w:rsidR="00552DCA" w:rsidRPr="003067D2" w:rsidRDefault="00552DCA" w:rsidP="00552DCA">
      <w:pPr>
        <w:pStyle w:val="StandardowytekstZnak"/>
      </w:pPr>
      <w:r w:rsidRPr="003067D2">
        <w:t xml:space="preserve">Nie występują. </w:t>
      </w:r>
    </w:p>
    <w:p w:rsidR="00552DCA" w:rsidRPr="003067D2" w:rsidRDefault="00552DCA" w:rsidP="00552DCA">
      <w:pPr>
        <w:pStyle w:val="StandardowytekstZnak"/>
        <w:spacing w:before="240"/>
        <w:rPr>
          <w:b/>
        </w:rPr>
      </w:pPr>
      <w:bookmarkStart w:id="6" w:name="_Toc407161220"/>
      <w:bookmarkStart w:id="7" w:name="_Toc418994927"/>
      <w:bookmarkStart w:id="8" w:name="_Toc418996334"/>
      <w:bookmarkStart w:id="9" w:name="_Toc418996703"/>
      <w:bookmarkStart w:id="10" w:name="_Toc418997090"/>
      <w:bookmarkStart w:id="11" w:name="_Toc418998500"/>
      <w:bookmarkStart w:id="12" w:name="_Toc418998856"/>
      <w:bookmarkStart w:id="13" w:name="_Toc419000101"/>
      <w:r w:rsidRPr="003067D2">
        <w:rPr>
          <w:b/>
        </w:rPr>
        <w:t>3. SPRZĘT</w:t>
      </w:r>
      <w:bookmarkEnd w:id="6"/>
      <w:bookmarkEnd w:id="7"/>
      <w:bookmarkEnd w:id="8"/>
      <w:bookmarkEnd w:id="9"/>
      <w:bookmarkEnd w:id="10"/>
      <w:bookmarkEnd w:id="11"/>
      <w:bookmarkEnd w:id="12"/>
      <w:bookmarkEnd w:id="13"/>
    </w:p>
    <w:p w:rsidR="00552DCA" w:rsidRPr="003067D2" w:rsidRDefault="00552DCA" w:rsidP="00552DCA">
      <w:pPr>
        <w:pStyle w:val="StandardowytekstZnak"/>
        <w:rPr>
          <w:b/>
        </w:rPr>
      </w:pPr>
      <w:r w:rsidRPr="003067D2">
        <w:rPr>
          <w:b/>
        </w:rPr>
        <w:t>3.1 Wymagania ogólne</w:t>
      </w:r>
    </w:p>
    <w:p w:rsidR="00552DCA" w:rsidRPr="003067D2" w:rsidRDefault="00552DCA" w:rsidP="00552DCA">
      <w:pPr>
        <w:pStyle w:val="Zwykytekst"/>
        <w:rPr>
          <w:rFonts w:ascii="Times New Roman" w:hAnsi="Times New Roman"/>
        </w:rPr>
      </w:pPr>
      <w:r w:rsidRPr="003067D2">
        <w:rPr>
          <w:rFonts w:ascii="Times New Roman" w:hAnsi="Times New Roman"/>
        </w:rPr>
        <w:t>Ogólne wymagania i ustalenia dotyczące sprzętu określono w SST  D-02.00.01 pkt 3.</w:t>
      </w:r>
    </w:p>
    <w:p w:rsidR="00552DCA" w:rsidRPr="003067D2" w:rsidRDefault="00552DCA" w:rsidP="00552DCA">
      <w:pPr>
        <w:spacing w:before="240"/>
        <w:jc w:val="both"/>
        <w:rPr>
          <w:b/>
        </w:rPr>
      </w:pPr>
      <w:r w:rsidRPr="003067D2">
        <w:rPr>
          <w:b/>
        </w:rPr>
        <w:t>4. TRANSPORT</w:t>
      </w:r>
    </w:p>
    <w:p w:rsidR="00552DCA" w:rsidRPr="003067D2" w:rsidRDefault="00552DCA" w:rsidP="00552DCA">
      <w:pPr>
        <w:jc w:val="both"/>
        <w:rPr>
          <w:b/>
          <w:u w:val="single"/>
        </w:rPr>
      </w:pPr>
      <w:r w:rsidRPr="003067D2">
        <w:rPr>
          <w:b/>
          <w:u w:val="single"/>
        </w:rPr>
        <w:t>4.1. Wymagania ogólne</w:t>
      </w:r>
    </w:p>
    <w:p w:rsidR="00552DCA" w:rsidRPr="003067D2" w:rsidRDefault="00552DCA" w:rsidP="00552DCA">
      <w:r w:rsidRPr="003067D2">
        <w:t>Ogólne wymagania i ustalenia dotyczące transportu określono w SST D-02.00.01 pkt 4.</w:t>
      </w:r>
    </w:p>
    <w:p w:rsidR="00552DCA" w:rsidRPr="003067D2" w:rsidRDefault="00552DCA" w:rsidP="00552DCA">
      <w:pPr>
        <w:spacing w:before="240"/>
        <w:jc w:val="both"/>
        <w:rPr>
          <w:b/>
        </w:rPr>
      </w:pPr>
      <w:r w:rsidRPr="003067D2">
        <w:rPr>
          <w:b/>
        </w:rPr>
        <w:t>5. WYKONANIE ROBÓT</w:t>
      </w:r>
    </w:p>
    <w:p w:rsidR="00552DCA" w:rsidRPr="003067D2" w:rsidRDefault="00552DCA" w:rsidP="00552DCA">
      <w:pPr>
        <w:jc w:val="both"/>
      </w:pPr>
      <w:r w:rsidRPr="003067D2">
        <w:rPr>
          <w:b/>
          <w:u w:val="single"/>
        </w:rPr>
        <w:t>5.1. Ogólne zasady wykonania robót</w:t>
      </w:r>
    </w:p>
    <w:p w:rsidR="00552DCA" w:rsidRPr="003067D2" w:rsidRDefault="00552DCA" w:rsidP="00552DCA">
      <w:pPr>
        <w:jc w:val="both"/>
      </w:pPr>
      <w:r w:rsidRPr="003067D2">
        <w:t>Ogólne zasady wykonania robót podano w SST D-M-00.00.00. “Wymagania ogólne” pkt. 5.</w:t>
      </w:r>
    </w:p>
    <w:p w:rsidR="00552DCA" w:rsidRPr="003067D2" w:rsidRDefault="00552DCA" w:rsidP="00552DCA">
      <w:pPr>
        <w:pStyle w:val="tekstost"/>
        <w:rPr>
          <w:b/>
          <w:u w:val="single"/>
        </w:rPr>
      </w:pPr>
      <w:r w:rsidRPr="003067D2">
        <w:rPr>
          <w:b/>
          <w:u w:val="single"/>
        </w:rPr>
        <w:t>5.2. Zasady prowadzenia robót</w:t>
      </w:r>
    </w:p>
    <w:bookmarkEnd w:id="5"/>
    <w:p w:rsidR="00552DCA" w:rsidRPr="003067D2" w:rsidRDefault="00552DCA" w:rsidP="00552DCA">
      <w:pPr>
        <w:pStyle w:val="tekstost"/>
      </w:pPr>
      <w:r w:rsidRPr="003067D2">
        <w:t>Ogólne zasady prowadzenia robót podano w SST D-02.00.01 pkt 5.</w:t>
      </w:r>
    </w:p>
    <w:p w:rsidR="00552DCA" w:rsidRPr="003067D2" w:rsidRDefault="00552DCA" w:rsidP="00552DCA">
      <w:pPr>
        <w:pStyle w:val="tekstost"/>
      </w:pPr>
      <w:r w:rsidRPr="003067D2">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552DCA" w:rsidRPr="003067D2" w:rsidRDefault="00552DCA" w:rsidP="00552DCA">
      <w:pPr>
        <w:pStyle w:val="tekstost"/>
      </w:pPr>
      <w:r w:rsidRPr="003067D2">
        <w:t>Miejsca odkładów mas ziemnych ustala swoim staraniem Wykonawca. Koszty wynikające z ustalenia miejsca odkładów rekultywacji ponosi Wykonawca.</w:t>
      </w:r>
    </w:p>
    <w:p w:rsidR="00552DCA" w:rsidRPr="003067D2" w:rsidRDefault="00552DCA" w:rsidP="00552DCA">
      <w:pPr>
        <w:pStyle w:val="tekstost"/>
        <w:rPr>
          <w:b/>
          <w:u w:val="single"/>
        </w:rPr>
      </w:pPr>
      <w:r w:rsidRPr="003067D2">
        <w:rPr>
          <w:b/>
          <w:u w:val="single"/>
        </w:rPr>
        <w:t>5.3. Wymagania dotyczące zagęszczenia i nośności gruntu</w:t>
      </w:r>
    </w:p>
    <w:p w:rsidR="00552DCA" w:rsidRPr="003067D2" w:rsidRDefault="00552DCA" w:rsidP="00552DCA">
      <w:pPr>
        <w:pStyle w:val="tekstost"/>
      </w:pPr>
      <w:r w:rsidRPr="003067D2">
        <w:t>Zagęszczenie gruntu w wykopach i miejscach zerowych robót ziemnych powinno spełniać wymagania, dotyczące minimalnej wartości wskaźnika zagęszczenia (</w:t>
      </w:r>
      <w:proofErr w:type="spellStart"/>
      <w:r w:rsidRPr="003067D2">
        <w:t>I</w:t>
      </w:r>
      <w:r w:rsidRPr="003067D2">
        <w:rPr>
          <w:vertAlign w:val="subscript"/>
        </w:rPr>
        <w:t>s</w:t>
      </w:r>
      <w:proofErr w:type="spellEnd"/>
      <w:r w:rsidRPr="003067D2">
        <w:t>), podanego w tablicy 1.</w:t>
      </w:r>
    </w:p>
    <w:p w:rsidR="00552DCA" w:rsidRPr="003067D2" w:rsidRDefault="00552DCA" w:rsidP="00552DCA">
      <w:pPr>
        <w:pStyle w:val="StandardowytekstZnak"/>
        <w:keepNext/>
        <w:keepLines/>
        <w:spacing w:before="120"/>
      </w:pPr>
      <w:r w:rsidRPr="003067D2">
        <w:rPr>
          <w:b/>
        </w:rPr>
        <w:t>Tablica 1</w:t>
      </w:r>
      <w:r w:rsidRPr="003067D2">
        <w:t>. Minimalne wartości wskaźnika zagęszczenia w wykopach i miejscach zerowych robót ziemnych</w:t>
      </w:r>
    </w:p>
    <w:tbl>
      <w:tblPr>
        <w:tblW w:w="8931" w:type="dxa"/>
        <w:tblInd w:w="70" w:type="dxa"/>
        <w:tblLayout w:type="fixed"/>
        <w:tblCellMar>
          <w:left w:w="70" w:type="dxa"/>
          <w:right w:w="70" w:type="dxa"/>
        </w:tblCellMar>
        <w:tblLook w:val="0000" w:firstRow="0" w:lastRow="0" w:firstColumn="0" w:lastColumn="0" w:noHBand="0" w:noVBand="0"/>
      </w:tblPr>
      <w:tblGrid>
        <w:gridCol w:w="3686"/>
        <w:gridCol w:w="2551"/>
        <w:gridCol w:w="2694"/>
      </w:tblGrid>
      <w:tr w:rsidR="00552DCA" w:rsidRPr="003067D2" w:rsidTr="00603E5D">
        <w:tc>
          <w:tcPr>
            <w:tcW w:w="3686" w:type="dxa"/>
            <w:vMerge w:val="restart"/>
            <w:tcBorders>
              <w:top w:val="single" w:sz="4" w:space="0" w:color="auto"/>
              <w:left w:val="single" w:sz="6" w:space="0" w:color="auto"/>
              <w:bottom w:val="nil"/>
              <w:right w:val="single" w:sz="6" w:space="0" w:color="auto"/>
            </w:tcBorders>
            <w:vAlign w:val="center"/>
          </w:tcPr>
          <w:p w:rsidR="00552DCA" w:rsidRPr="003067D2" w:rsidRDefault="00552DCA" w:rsidP="00603E5D">
            <w:pPr>
              <w:pStyle w:val="StandardowytekstZnak"/>
              <w:keepNext/>
              <w:keepLines/>
              <w:jc w:val="center"/>
            </w:pPr>
            <w:r w:rsidRPr="003067D2">
              <w:t>Strefa korpusu</w:t>
            </w:r>
          </w:p>
        </w:tc>
        <w:tc>
          <w:tcPr>
            <w:tcW w:w="5245" w:type="dxa"/>
            <w:gridSpan w:val="2"/>
            <w:tcBorders>
              <w:top w:val="single" w:sz="4" w:space="0" w:color="auto"/>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 xml:space="preserve">Minimalna wartość </w:t>
            </w:r>
            <w:proofErr w:type="spellStart"/>
            <w:r w:rsidRPr="003067D2">
              <w:t>I</w:t>
            </w:r>
            <w:r w:rsidRPr="003067D2">
              <w:rPr>
                <w:vertAlign w:val="subscript"/>
              </w:rPr>
              <w:t>s</w:t>
            </w:r>
            <w:proofErr w:type="spellEnd"/>
            <w:r w:rsidRPr="003067D2">
              <w:t xml:space="preserve"> dla:</w:t>
            </w:r>
          </w:p>
        </w:tc>
      </w:tr>
      <w:tr w:rsidR="00552DCA" w:rsidRPr="003067D2" w:rsidTr="00603E5D">
        <w:tc>
          <w:tcPr>
            <w:tcW w:w="3686" w:type="dxa"/>
            <w:vMerge/>
            <w:tcBorders>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p>
        </w:tc>
        <w:tc>
          <w:tcPr>
            <w:tcW w:w="2551" w:type="dxa"/>
            <w:tcBorders>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kategoria ruchu KR 3- KR6</w:t>
            </w:r>
          </w:p>
        </w:tc>
        <w:tc>
          <w:tcPr>
            <w:tcW w:w="2694" w:type="dxa"/>
            <w:tcBorders>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Kategoria ruchu KR1-KR2</w:t>
            </w:r>
          </w:p>
        </w:tc>
      </w:tr>
      <w:tr w:rsidR="00552DCA" w:rsidRPr="003067D2" w:rsidTr="00603E5D">
        <w:tc>
          <w:tcPr>
            <w:tcW w:w="3686" w:type="dxa"/>
            <w:tcBorders>
              <w:top w:val="single" w:sz="6" w:space="0" w:color="auto"/>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Górna warstwa o grubości 20 cm</w:t>
            </w:r>
          </w:p>
        </w:tc>
        <w:tc>
          <w:tcPr>
            <w:tcW w:w="2551" w:type="dxa"/>
            <w:tcBorders>
              <w:top w:val="single" w:sz="6" w:space="0" w:color="auto"/>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1,00</w:t>
            </w:r>
          </w:p>
        </w:tc>
        <w:tc>
          <w:tcPr>
            <w:tcW w:w="2694" w:type="dxa"/>
            <w:tcBorders>
              <w:top w:val="single" w:sz="6" w:space="0" w:color="auto"/>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1,00</w:t>
            </w:r>
          </w:p>
        </w:tc>
      </w:tr>
      <w:tr w:rsidR="00552DCA" w:rsidRPr="003067D2" w:rsidTr="00603E5D">
        <w:tc>
          <w:tcPr>
            <w:tcW w:w="3686" w:type="dxa"/>
            <w:tcBorders>
              <w:top w:val="single" w:sz="6" w:space="0" w:color="auto"/>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Na głębokości od 20 do 50 cm od powierzchni robót ziemnych</w:t>
            </w:r>
          </w:p>
        </w:tc>
        <w:tc>
          <w:tcPr>
            <w:tcW w:w="2551" w:type="dxa"/>
            <w:tcBorders>
              <w:top w:val="single" w:sz="6" w:space="0" w:color="auto"/>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1,00</w:t>
            </w:r>
          </w:p>
        </w:tc>
        <w:tc>
          <w:tcPr>
            <w:tcW w:w="2694" w:type="dxa"/>
            <w:tcBorders>
              <w:top w:val="single" w:sz="6" w:space="0" w:color="auto"/>
              <w:left w:val="single" w:sz="6" w:space="0" w:color="auto"/>
              <w:bottom w:val="single" w:sz="6" w:space="0" w:color="auto"/>
              <w:right w:val="single" w:sz="6" w:space="0" w:color="auto"/>
            </w:tcBorders>
          </w:tcPr>
          <w:p w:rsidR="00552DCA" w:rsidRPr="003067D2" w:rsidRDefault="00552DCA" w:rsidP="00603E5D">
            <w:pPr>
              <w:pStyle w:val="StandardowytekstZnak"/>
              <w:keepNext/>
              <w:keepLines/>
              <w:jc w:val="center"/>
            </w:pPr>
            <w:r w:rsidRPr="003067D2">
              <w:t>0,97</w:t>
            </w:r>
          </w:p>
        </w:tc>
      </w:tr>
    </w:tbl>
    <w:p w:rsidR="00552DCA" w:rsidRPr="003067D2" w:rsidRDefault="00552DCA" w:rsidP="00552DCA">
      <w:pPr>
        <w:pStyle w:val="StandardowytekstZnak"/>
        <w:spacing w:before="240"/>
      </w:pPr>
      <w:r w:rsidRPr="003067D2">
        <w:t xml:space="preserve">Jeżeli grunty rodzime w wykopach i miejscach zerowych nie spełniają wymaganego wskaźnika zagęszczenia, to przed ułożeniem konstrukcji nawierzchni należy je dogęścić do wartości </w:t>
      </w:r>
      <w:proofErr w:type="spellStart"/>
      <w:r w:rsidRPr="003067D2">
        <w:t>I</w:t>
      </w:r>
      <w:r w:rsidRPr="003067D2">
        <w:rPr>
          <w:vertAlign w:val="subscript"/>
        </w:rPr>
        <w:t>s</w:t>
      </w:r>
      <w:proofErr w:type="spellEnd"/>
      <w:r w:rsidRPr="003067D2">
        <w:t>, podanych w tablicy 1.</w:t>
      </w:r>
    </w:p>
    <w:p w:rsidR="00552DCA" w:rsidRPr="003067D2" w:rsidRDefault="00552DCA" w:rsidP="00552DCA">
      <w:pPr>
        <w:pStyle w:val="StandardowytekstZnak"/>
      </w:pPr>
      <w:r w:rsidRPr="003067D2">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Inspektorowi Nadzoru.</w:t>
      </w:r>
    </w:p>
    <w:p w:rsidR="00552DCA" w:rsidRPr="003067D2" w:rsidRDefault="00552DCA" w:rsidP="00552DCA">
      <w:pPr>
        <w:pStyle w:val="StandardowytekstZnak"/>
      </w:pPr>
      <w:r w:rsidRPr="003067D2">
        <w:t>Dodatkowo należy sprawdzić nośność warstwy gruntu na powierzchni robót ziemnych na podstawie pomiaru wtórnego modułu odkształcenia E</w:t>
      </w:r>
      <w:r w:rsidRPr="003067D2">
        <w:rPr>
          <w:vertAlign w:val="subscript"/>
        </w:rPr>
        <w:t>2</w:t>
      </w:r>
      <w:r w:rsidRPr="003067D2">
        <w:t xml:space="preserve"> zgodnie z PN-02205:1998 [1] dla KR 4, wg rysunku 1.</w:t>
      </w:r>
    </w:p>
    <w:p w:rsidR="00552DCA" w:rsidRPr="003067D2" w:rsidRDefault="00552DCA" w:rsidP="00552DCA">
      <w:pPr>
        <w:pStyle w:val="StandardowytekstZnak"/>
      </w:pPr>
    </w:p>
    <w:p w:rsidR="00552DCA" w:rsidRPr="003067D2" w:rsidRDefault="00552DCA" w:rsidP="00552DCA">
      <w:pPr>
        <w:pStyle w:val="StandardowytekstZnak"/>
      </w:pPr>
      <w:r>
        <w:rPr>
          <w:noProof/>
        </w:rPr>
        <w:lastRenderedPageBreak/>
        <w:drawing>
          <wp:inline distT="0" distB="0" distL="0" distR="0">
            <wp:extent cx="5828030" cy="1876425"/>
            <wp:effectExtent l="0" t="0" r="127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8030" cy="1876425"/>
                    </a:xfrm>
                    <a:prstGeom prst="rect">
                      <a:avLst/>
                    </a:prstGeom>
                    <a:noFill/>
                    <a:ln>
                      <a:noFill/>
                    </a:ln>
                  </pic:spPr>
                </pic:pic>
              </a:graphicData>
            </a:graphic>
          </wp:inline>
        </w:drawing>
      </w:r>
    </w:p>
    <w:p w:rsidR="00552DCA" w:rsidRPr="003067D2" w:rsidRDefault="00552DCA" w:rsidP="00552DCA">
      <w:pPr>
        <w:pStyle w:val="StandardowytekstZnak"/>
        <w:keepNext/>
        <w:keepLines/>
      </w:pPr>
    </w:p>
    <w:p w:rsidR="00552DCA" w:rsidRPr="003067D2" w:rsidRDefault="00552DCA" w:rsidP="00552DCA">
      <w:pPr>
        <w:pStyle w:val="StandardowytekstZnak"/>
        <w:keepNext/>
        <w:keepLines/>
        <w:rPr>
          <w:b/>
        </w:rPr>
      </w:pPr>
      <w:r w:rsidRPr="003067D2">
        <w:rPr>
          <w:b/>
        </w:rPr>
        <w:t>rys. nr 1</w:t>
      </w:r>
    </w:p>
    <w:p w:rsidR="00552DCA" w:rsidRPr="003067D2" w:rsidRDefault="00552DCA" w:rsidP="00552DCA">
      <w:pPr>
        <w:pStyle w:val="StandardowytekstZnak"/>
        <w:spacing w:before="240"/>
        <w:rPr>
          <w:b/>
          <w:u w:val="single"/>
        </w:rPr>
      </w:pPr>
      <w:r w:rsidRPr="003067D2">
        <w:rPr>
          <w:b/>
          <w:u w:val="single"/>
        </w:rPr>
        <w:t>5.4. Ruch budowlany</w:t>
      </w:r>
    </w:p>
    <w:p w:rsidR="00552DCA" w:rsidRPr="003067D2" w:rsidRDefault="00552DCA" w:rsidP="00552DCA">
      <w:pPr>
        <w:pStyle w:val="StandardowytekstZnak"/>
      </w:pPr>
      <w:r w:rsidRPr="003067D2">
        <w:t>Nie należy dopuszczać ruchu budowlanego po dnie wykopu o ile grubość warstwy gruntu (nadkładu) powyżej rzędnych robót ziemnych jest mniejsza niż 0,3 m.</w:t>
      </w:r>
    </w:p>
    <w:p w:rsidR="00552DCA" w:rsidRPr="003067D2" w:rsidRDefault="00552DCA" w:rsidP="00552DCA">
      <w:pPr>
        <w:pStyle w:val="StandardowytekstZnak"/>
      </w:pPr>
      <w:r w:rsidRPr="003067D2">
        <w:t>Z chwilą przystąpienia do ostatecznego profilowania dna wykopu dopuszcza się po nim jedynie ruch maszyn wykonujących tę czynność budowlaną. Może odbywać się jedynie sporadyczny ruch pojazdów, które nie spowodują uszkodzeń powierzchni korpusu.</w:t>
      </w:r>
    </w:p>
    <w:p w:rsidR="00552DCA" w:rsidRPr="003067D2" w:rsidRDefault="00552DCA" w:rsidP="00552DCA">
      <w:pPr>
        <w:pStyle w:val="StandardowytekstZnak"/>
      </w:pPr>
      <w:r w:rsidRPr="003067D2">
        <w:t>Naprawa uszkodzeń powierzchni robót ziemnych, wynikających z niedotrzymania podanych powyżej warunków obciąża Wykonawcę robót ziemnych.</w:t>
      </w:r>
    </w:p>
    <w:p w:rsidR="00552DCA" w:rsidRPr="003067D2" w:rsidRDefault="00552DCA" w:rsidP="00552DCA">
      <w:pPr>
        <w:keepNext/>
        <w:keepLines/>
        <w:spacing w:before="240"/>
        <w:jc w:val="both"/>
        <w:rPr>
          <w:b/>
        </w:rPr>
      </w:pPr>
      <w:r w:rsidRPr="003067D2">
        <w:rPr>
          <w:b/>
        </w:rPr>
        <w:t>6. KONTROLA JAKOŚCI ROBÓT</w:t>
      </w:r>
    </w:p>
    <w:p w:rsidR="00552DCA" w:rsidRPr="003067D2" w:rsidRDefault="00552DCA" w:rsidP="00552DCA">
      <w:pPr>
        <w:pStyle w:val="StandardowytekstZnak"/>
        <w:keepNext/>
        <w:keepLines/>
        <w:rPr>
          <w:b/>
          <w:u w:val="single"/>
        </w:rPr>
      </w:pPr>
      <w:r w:rsidRPr="003067D2">
        <w:rPr>
          <w:b/>
          <w:u w:val="single"/>
        </w:rPr>
        <w:t>6.1. Ogólne zasady kontroli jakości robót</w:t>
      </w:r>
    </w:p>
    <w:p w:rsidR="00552DCA" w:rsidRPr="003067D2" w:rsidRDefault="00552DCA" w:rsidP="00552DCA">
      <w:pPr>
        <w:pStyle w:val="StandardowytekstZnak"/>
        <w:keepNext/>
        <w:keepLines/>
      </w:pPr>
      <w:r w:rsidRPr="003067D2">
        <w:t>Ogólne zasady kontroli jakości robót podano w SST D-02.00.01 pkt 6.1.</w:t>
      </w:r>
    </w:p>
    <w:p w:rsidR="00552DCA" w:rsidRPr="003067D2" w:rsidRDefault="00552DCA" w:rsidP="00552DCA">
      <w:pPr>
        <w:pStyle w:val="StandardowytekstZnak"/>
        <w:rPr>
          <w:b/>
          <w:u w:val="single"/>
        </w:rPr>
      </w:pPr>
      <w:r w:rsidRPr="003067D2">
        <w:rPr>
          <w:b/>
          <w:u w:val="single"/>
        </w:rPr>
        <w:t>6.2. Kontrola wykonania wykopów</w:t>
      </w:r>
    </w:p>
    <w:p w:rsidR="00552DCA" w:rsidRPr="003067D2" w:rsidRDefault="00552DCA" w:rsidP="00552DCA">
      <w:pPr>
        <w:pStyle w:val="StandardowytekstZnak"/>
      </w:pPr>
      <w:r w:rsidRPr="003067D2">
        <w:t>Kontrola wykonania wykopów polega na sprawdzeniu zgodności z wymaganiami określonymi w dokumentacji projektowej i SST. W czasie kontroli szczególną uwagę należy zwrócić na:</w:t>
      </w:r>
    </w:p>
    <w:p w:rsidR="00552DCA" w:rsidRPr="003067D2" w:rsidRDefault="00552DCA" w:rsidP="00552DCA">
      <w:pPr>
        <w:pStyle w:val="StandardowytekstZnak"/>
        <w:numPr>
          <w:ilvl w:val="0"/>
          <w:numId w:val="1"/>
        </w:numPr>
      </w:pPr>
      <w:r w:rsidRPr="003067D2">
        <w:t>sposób odspajania gruntów nie pogarszający ich właściwości,</w:t>
      </w:r>
    </w:p>
    <w:p w:rsidR="00552DCA" w:rsidRPr="003067D2" w:rsidRDefault="00552DCA" w:rsidP="00552DCA">
      <w:pPr>
        <w:pStyle w:val="StandardowytekstZnak"/>
        <w:numPr>
          <w:ilvl w:val="0"/>
          <w:numId w:val="1"/>
        </w:numPr>
      </w:pPr>
      <w:r w:rsidRPr="003067D2">
        <w:t>zapewnienie stateczności skarp,</w:t>
      </w:r>
    </w:p>
    <w:p w:rsidR="00552DCA" w:rsidRPr="003067D2" w:rsidRDefault="00552DCA" w:rsidP="00552DCA">
      <w:pPr>
        <w:pStyle w:val="StandardowytekstZnak"/>
        <w:numPr>
          <w:ilvl w:val="0"/>
          <w:numId w:val="1"/>
        </w:numPr>
      </w:pPr>
      <w:r w:rsidRPr="003067D2">
        <w:t>odwodnienie wykopów w czasie wykonywania robót i po ich zakończeniu,</w:t>
      </w:r>
    </w:p>
    <w:p w:rsidR="00552DCA" w:rsidRPr="003067D2" w:rsidRDefault="00552DCA" w:rsidP="00552DCA">
      <w:pPr>
        <w:pStyle w:val="StandardowytekstZnak"/>
        <w:numPr>
          <w:ilvl w:val="0"/>
          <w:numId w:val="1"/>
        </w:numPr>
      </w:pPr>
      <w:r w:rsidRPr="003067D2">
        <w:t>dokładność wykonania wykopów (usytuowanie i wykończenie),</w:t>
      </w:r>
    </w:p>
    <w:p w:rsidR="00552DCA" w:rsidRPr="003067D2" w:rsidRDefault="00552DCA" w:rsidP="00552DCA">
      <w:pPr>
        <w:pStyle w:val="StandardowytekstZnak"/>
        <w:numPr>
          <w:ilvl w:val="0"/>
          <w:numId w:val="1"/>
        </w:numPr>
      </w:pPr>
      <w:r w:rsidRPr="003067D2">
        <w:t xml:space="preserve">zagęszczenie górnej strefy korpusu w wykopie według wymagań określonych w </w:t>
      </w:r>
      <w:proofErr w:type="spellStart"/>
      <w:r w:rsidRPr="003067D2">
        <w:t>pkcie</w:t>
      </w:r>
      <w:proofErr w:type="spellEnd"/>
      <w:r w:rsidRPr="003067D2">
        <w:t> 5.3.</w:t>
      </w:r>
    </w:p>
    <w:p w:rsidR="00552DCA" w:rsidRPr="003067D2" w:rsidRDefault="00552DCA" w:rsidP="00552DCA">
      <w:pPr>
        <w:pStyle w:val="Zwykytekst"/>
        <w:spacing w:before="240"/>
        <w:jc w:val="both"/>
        <w:rPr>
          <w:rFonts w:ascii="Times New Roman" w:hAnsi="Times New Roman"/>
          <w:b/>
        </w:rPr>
      </w:pPr>
      <w:r w:rsidRPr="003067D2">
        <w:rPr>
          <w:rFonts w:ascii="Times New Roman" w:hAnsi="Times New Roman"/>
          <w:b/>
        </w:rPr>
        <w:t>7. OBMIAR ROBÓT</w:t>
      </w:r>
    </w:p>
    <w:p w:rsidR="00552DCA" w:rsidRPr="003067D2" w:rsidRDefault="00552DCA" w:rsidP="00552DCA">
      <w:pPr>
        <w:pStyle w:val="Zwykytekst"/>
        <w:jc w:val="both"/>
        <w:rPr>
          <w:rFonts w:ascii="Times New Roman" w:hAnsi="Times New Roman"/>
          <w:b/>
          <w:u w:val="single"/>
        </w:rPr>
      </w:pPr>
      <w:r w:rsidRPr="003067D2">
        <w:rPr>
          <w:rFonts w:ascii="Times New Roman" w:hAnsi="Times New Roman"/>
          <w:b/>
          <w:u w:val="single"/>
        </w:rPr>
        <w:t>7.1. Ogólne zasady obmiaru robót</w:t>
      </w:r>
    </w:p>
    <w:p w:rsidR="00552DCA" w:rsidRPr="003067D2" w:rsidRDefault="00552DCA" w:rsidP="00552DCA">
      <w:pPr>
        <w:pStyle w:val="Zwykytekst"/>
        <w:jc w:val="both"/>
        <w:rPr>
          <w:rFonts w:ascii="Times New Roman" w:hAnsi="Times New Roman"/>
        </w:rPr>
      </w:pPr>
      <w:r w:rsidRPr="003067D2">
        <w:rPr>
          <w:rFonts w:ascii="Times New Roman" w:hAnsi="Times New Roman"/>
        </w:rPr>
        <w:t>Ogólne zasady obmiaru robót podano w SST D-M-02.00.01 pkt 7.</w:t>
      </w:r>
    </w:p>
    <w:p w:rsidR="00552DCA" w:rsidRPr="003067D2" w:rsidRDefault="00552DCA" w:rsidP="00552DCA">
      <w:pPr>
        <w:pStyle w:val="Zwykytekst"/>
        <w:jc w:val="both"/>
        <w:rPr>
          <w:rFonts w:ascii="Times New Roman" w:hAnsi="Times New Roman"/>
          <w:b/>
          <w:u w:val="single"/>
        </w:rPr>
      </w:pPr>
      <w:r w:rsidRPr="003067D2">
        <w:rPr>
          <w:rFonts w:ascii="Times New Roman" w:hAnsi="Times New Roman"/>
          <w:b/>
          <w:u w:val="single"/>
        </w:rPr>
        <w:t>7.2. Jednostka obmiarowa</w:t>
      </w:r>
    </w:p>
    <w:p w:rsidR="00552DCA" w:rsidRPr="003067D2" w:rsidRDefault="00552DCA" w:rsidP="00552DCA">
      <w:pPr>
        <w:pStyle w:val="Zwykytekst"/>
        <w:jc w:val="both"/>
        <w:rPr>
          <w:rFonts w:ascii="Times New Roman" w:hAnsi="Times New Roman"/>
        </w:rPr>
      </w:pPr>
      <w:r w:rsidRPr="003067D2">
        <w:rPr>
          <w:rFonts w:ascii="Times New Roman" w:hAnsi="Times New Roman"/>
        </w:rPr>
        <w:t>Jednostką obmiarową robót związanych z wykonaniem wykopów jest metr sześcienny [m</w:t>
      </w:r>
      <w:r w:rsidRPr="003067D2">
        <w:rPr>
          <w:rFonts w:ascii="Times New Roman" w:hAnsi="Times New Roman"/>
          <w:vertAlign w:val="superscript"/>
        </w:rPr>
        <w:t>3</w:t>
      </w:r>
      <w:r w:rsidRPr="003067D2">
        <w:rPr>
          <w:rFonts w:ascii="Times New Roman" w:hAnsi="Times New Roman"/>
        </w:rPr>
        <w:t>].</w:t>
      </w:r>
    </w:p>
    <w:p w:rsidR="00552DCA" w:rsidRPr="003067D2" w:rsidRDefault="00552DCA" w:rsidP="00552DCA">
      <w:pPr>
        <w:spacing w:before="240"/>
        <w:jc w:val="both"/>
        <w:rPr>
          <w:b/>
        </w:rPr>
      </w:pPr>
      <w:r w:rsidRPr="003067D2">
        <w:rPr>
          <w:b/>
        </w:rPr>
        <w:t>8. ODBIÓR ROBÓT</w:t>
      </w:r>
    </w:p>
    <w:p w:rsidR="00552DCA" w:rsidRPr="003067D2" w:rsidRDefault="00552DCA" w:rsidP="00552DCA">
      <w:pPr>
        <w:pStyle w:val="Zwykytekst"/>
        <w:jc w:val="both"/>
        <w:rPr>
          <w:rFonts w:ascii="Times New Roman" w:hAnsi="Times New Roman"/>
          <w:b/>
          <w:u w:val="single"/>
        </w:rPr>
      </w:pPr>
      <w:r w:rsidRPr="003067D2">
        <w:rPr>
          <w:rFonts w:ascii="Times New Roman" w:hAnsi="Times New Roman"/>
          <w:b/>
          <w:u w:val="single"/>
        </w:rPr>
        <w:t>8.1. Ogólne zasady obmiaru robót</w:t>
      </w:r>
    </w:p>
    <w:p w:rsidR="00552DCA" w:rsidRPr="003067D2" w:rsidRDefault="00552DCA" w:rsidP="00552DCA">
      <w:pPr>
        <w:pStyle w:val="Zwykytekst"/>
        <w:jc w:val="both"/>
        <w:rPr>
          <w:rFonts w:ascii="Times New Roman" w:hAnsi="Times New Roman"/>
        </w:rPr>
      </w:pPr>
      <w:r w:rsidRPr="003067D2">
        <w:rPr>
          <w:rFonts w:ascii="Times New Roman" w:hAnsi="Times New Roman"/>
        </w:rPr>
        <w:t>Ogólne zasady odbioru robót podano w SST D-M-00.00.00 pkt 8</w:t>
      </w:r>
    </w:p>
    <w:p w:rsidR="00552DCA" w:rsidRPr="003067D2" w:rsidRDefault="00552DCA" w:rsidP="00552DCA">
      <w:pPr>
        <w:jc w:val="both"/>
        <w:rPr>
          <w:b/>
          <w:u w:val="single"/>
        </w:rPr>
      </w:pPr>
      <w:r w:rsidRPr="003067D2">
        <w:rPr>
          <w:b/>
          <w:u w:val="single"/>
        </w:rPr>
        <w:t xml:space="preserve">8.2. Zasady postępowania w przypadku wystąpienia wad i usterek </w:t>
      </w:r>
    </w:p>
    <w:p w:rsidR="00552DCA" w:rsidRPr="003067D2" w:rsidRDefault="00552DCA" w:rsidP="00552DCA">
      <w:pPr>
        <w:pStyle w:val="Tekstpodstawowy"/>
        <w:ind w:right="-57"/>
        <w:jc w:val="both"/>
        <w:rPr>
          <w:rFonts w:ascii="Times New Roman" w:hAnsi="Times New Roman"/>
          <w:b w:val="0"/>
          <w:snapToGrid/>
          <w:color w:val="auto"/>
        </w:rPr>
      </w:pPr>
      <w:r w:rsidRPr="003067D2">
        <w:rPr>
          <w:rFonts w:ascii="Times New Roman" w:hAnsi="Times New Roman"/>
          <w:b w:val="0"/>
          <w:snapToGrid/>
          <w:color w:val="auto"/>
        </w:rPr>
        <w:t xml:space="preserve">W przypadku wystąpienia wad i usterek Wykonawca zobowiązany jest do ich usunięcia na własny koszt. Odbiór jest możliwy po spełnieniu wymagań określonych w punkcie 6. SST. </w:t>
      </w:r>
    </w:p>
    <w:p w:rsidR="00552DCA" w:rsidRPr="003067D2" w:rsidRDefault="00552DCA" w:rsidP="00552DCA">
      <w:pPr>
        <w:spacing w:before="240"/>
        <w:jc w:val="both"/>
        <w:rPr>
          <w:b/>
        </w:rPr>
      </w:pPr>
      <w:r w:rsidRPr="003067D2">
        <w:rPr>
          <w:b/>
        </w:rPr>
        <w:t>9. PODSTAWA PŁATNOŚCI</w:t>
      </w:r>
    </w:p>
    <w:p w:rsidR="00552DCA" w:rsidRPr="003067D2" w:rsidRDefault="00552DCA" w:rsidP="00552DCA">
      <w:pPr>
        <w:jc w:val="both"/>
        <w:rPr>
          <w:b/>
          <w:u w:val="single"/>
        </w:rPr>
      </w:pPr>
      <w:r w:rsidRPr="003067D2">
        <w:rPr>
          <w:b/>
          <w:u w:val="single"/>
        </w:rPr>
        <w:t>9.1. Ustalenia ogólne dotyczące płatności</w:t>
      </w:r>
    </w:p>
    <w:p w:rsidR="00552DCA" w:rsidRPr="003067D2" w:rsidRDefault="00552DCA" w:rsidP="00552DCA">
      <w:pPr>
        <w:jc w:val="both"/>
      </w:pPr>
      <w:r w:rsidRPr="003067D2">
        <w:t>Ustalenia ogólne dotyczące podstawy płatności podano w SST D-00.00.00 “Wymagania ogólne” pkt. 9.</w:t>
      </w:r>
    </w:p>
    <w:p w:rsidR="00552DCA" w:rsidRPr="003067D2" w:rsidRDefault="00552DCA" w:rsidP="00552DCA">
      <w:pPr>
        <w:jc w:val="both"/>
        <w:rPr>
          <w:b/>
          <w:u w:val="single"/>
        </w:rPr>
      </w:pPr>
      <w:r w:rsidRPr="003067D2">
        <w:rPr>
          <w:b/>
          <w:u w:val="single"/>
        </w:rPr>
        <w:t>9.2. Cena jednostki obmiarowej</w:t>
      </w:r>
    </w:p>
    <w:p w:rsidR="00552DCA" w:rsidRPr="003067D2" w:rsidRDefault="00552DCA" w:rsidP="00552DCA">
      <w:pPr>
        <w:jc w:val="both"/>
      </w:pPr>
      <w:r w:rsidRPr="003067D2">
        <w:t>Cena 1 metra sześciennego [m</w:t>
      </w:r>
      <w:r w:rsidRPr="003067D2">
        <w:rPr>
          <w:vertAlign w:val="superscript"/>
        </w:rPr>
        <w:t>3</w:t>
      </w:r>
      <w:r w:rsidRPr="003067D2">
        <w:t>] wykonania wykopów obejmuje:</w:t>
      </w:r>
    </w:p>
    <w:p w:rsidR="00552DCA" w:rsidRPr="003067D2" w:rsidRDefault="00552DCA" w:rsidP="00552DCA">
      <w:pPr>
        <w:numPr>
          <w:ilvl w:val="0"/>
          <w:numId w:val="2"/>
        </w:numPr>
        <w:jc w:val="both"/>
      </w:pPr>
      <w:r w:rsidRPr="003067D2">
        <w:t>prace pomiarowe i  roboty przygotowawcze,</w:t>
      </w:r>
    </w:p>
    <w:p w:rsidR="00552DCA" w:rsidRPr="003067D2" w:rsidRDefault="00552DCA" w:rsidP="00552DCA">
      <w:pPr>
        <w:numPr>
          <w:ilvl w:val="0"/>
          <w:numId w:val="2"/>
        </w:numPr>
        <w:jc w:val="both"/>
      </w:pPr>
      <w:r w:rsidRPr="003067D2">
        <w:t>oznakowanie robót,</w:t>
      </w:r>
    </w:p>
    <w:p w:rsidR="00552DCA" w:rsidRPr="003067D2" w:rsidRDefault="00552DCA" w:rsidP="00552DCA">
      <w:pPr>
        <w:numPr>
          <w:ilvl w:val="0"/>
          <w:numId w:val="2"/>
        </w:numPr>
        <w:jc w:val="both"/>
      </w:pPr>
      <w:r w:rsidRPr="003067D2">
        <w:t>wykonanie wykopów z transportem urobku w nasyp lub na odkład, obejmujące: odspojenie, przemieszczenie, załadunek, przewiezienie i wyładunek,</w:t>
      </w:r>
    </w:p>
    <w:p w:rsidR="00552DCA" w:rsidRPr="003067D2" w:rsidRDefault="00552DCA" w:rsidP="00552DCA">
      <w:pPr>
        <w:numPr>
          <w:ilvl w:val="0"/>
          <w:numId w:val="2"/>
        </w:numPr>
        <w:jc w:val="both"/>
      </w:pPr>
      <w:r w:rsidRPr="003067D2">
        <w:t>profilowanie dna wykopu, rowów, skarp zgodnie z dokumentacją projektową,</w:t>
      </w:r>
    </w:p>
    <w:p w:rsidR="00552DCA" w:rsidRPr="003067D2" w:rsidRDefault="00552DCA" w:rsidP="00552DCA">
      <w:pPr>
        <w:numPr>
          <w:ilvl w:val="0"/>
          <w:numId w:val="2"/>
        </w:numPr>
        <w:jc w:val="both"/>
      </w:pPr>
      <w:r w:rsidRPr="003067D2">
        <w:lastRenderedPageBreak/>
        <w:t>zagęszczenie powierzchni wykopu do wielkości podanej w SST</w:t>
      </w:r>
    </w:p>
    <w:p w:rsidR="00552DCA" w:rsidRPr="003067D2" w:rsidRDefault="00552DCA" w:rsidP="00552DCA">
      <w:pPr>
        <w:numPr>
          <w:ilvl w:val="0"/>
          <w:numId w:val="2"/>
        </w:numPr>
        <w:jc w:val="both"/>
      </w:pPr>
      <w:r w:rsidRPr="003067D2">
        <w:t>przeprowadzenie wymaganych pomiarów i badań laboratoryjnych,</w:t>
      </w:r>
    </w:p>
    <w:p w:rsidR="00552DCA" w:rsidRPr="003067D2" w:rsidRDefault="00552DCA" w:rsidP="00552DCA">
      <w:pPr>
        <w:numPr>
          <w:ilvl w:val="0"/>
          <w:numId w:val="2"/>
        </w:numPr>
        <w:jc w:val="both"/>
      </w:pPr>
      <w:r w:rsidRPr="003067D2">
        <w:t>rozplantowanie urobku na odkładzie z nadaniem odpowiedniej formy zgodnie ze wskazaniem Inspektora Nadzoru,</w:t>
      </w:r>
    </w:p>
    <w:p w:rsidR="00552DCA" w:rsidRPr="003067D2" w:rsidRDefault="00552DCA" w:rsidP="00552DCA">
      <w:pPr>
        <w:numPr>
          <w:ilvl w:val="0"/>
          <w:numId w:val="2"/>
        </w:numPr>
        <w:jc w:val="both"/>
      </w:pPr>
      <w:r w:rsidRPr="003067D2">
        <w:t>odwodnienie wykopu na czas jego wykonania,</w:t>
      </w:r>
    </w:p>
    <w:p w:rsidR="00552DCA" w:rsidRPr="003067D2" w:rsidRDefault="00552DCA" w:rsidP="00552DCA">
      <w:pPr>
        <w:numPr>
          <w:ilvl w:val="0"/>
          <w:numId w:val="2"/>
        </w:numPr>
        <w:jc w:val="both"/>
      </w:pPr>
      <w:r w:rsidRPr="003067D2">
        <w:t>wykonanie, a następnie rozebranie dróg dojazdowych,</w:t>
      </w:r>
    </w:p>
    <w:p w:rsidR="00552DCA" w:rsidRPr="003067D2" w:rsidRDefault="00552DCA" w:rsidP="00552DCA">
      <w:pPr>
        <w:numPr>
          <w:ilvl w:val="0"/>
          <w:numId w:val="2"/>
        </w:numPr>
        <w:jc w:val="both"/>
      </w:pPr>
      <w:r w:rsidRPr="003067D2">
        <w:t>rekultywacje terenu.</w:t>
      </w:r>
    </w:p>
    <w:p w:rsidR="00552DCA" w:rsidRPr="003067D2" w:rsidRDefault="00552DCA" w:rsidP="00552DCA">
      <w:pPr>
        <w:spacing w:before="240"/>
        <w:jc w:val="both"/>
        <w:rPr>
          <w:b/>
        </w:rPr>
      </w:pPr>
      <w:r w:rsidRPr="003067D2">
        <w:rPr>
          <w:b/>
        </w:rPr>
        <w:t>10. PRZEPISY ZWIĄZANE</w:t>
      </w:r>
    </w:p>
    <w:p w:rsidR="00552DCA" w:rsidRPr="003067D2" w:rsidRDefault="00552DCA" w:rsidP="00552DCA">
      <w:pPr>
        <w:pStyle w:val="StandardowytekstZnak"/>
        <w:rPr>
          <w:b/>
          <w:u w:val="single"/>
        </w:rPr>
      </w:pPr>
      <w:r w:rsidRPr="003067D2">
        <w:rPr>
          <w:b/>
          <w:u w:val="single"/>
        </w:rPr>
        <w:t>10.1. Normy</w:t>
      </w:r>
    </w:p>
    <w:tbl>
      <w:tblPr>
        <w:tblW w:w="0" w:type="auto"/>
        <w:tblLayout w:type="fixed"/>
        <w:tblCellMar>
          <w:left w:w="70" w:type="dxa"/>
          <w:right w:w="70" w:type="dxa"/>
        </w:tblCellMar>
        <w:tblLook w:val="0000" w:firstRow="0" w:lastRow="0" w:firstColumn="0" w:lastColumn="0" w:noHBand="0" w:noVBand="0"/>
      </w:tblPr>
      <w:tblGrid>
        <w:gridCol w:w="354"/>
        <w:gridCol w:w="1876"/>
        <w:gridCol w:w="7200"/>
      </w:tblGrid>
      <w:tr w:rsidR="00552DCA" w:rsidRPr="003067D2" w:rsidTr="00603E5D">
        <w:tc>
          <w:tcPr>
            <w:tcW w:w="354" w:type="dxa"/>
          </w:tcPr>
          <w:p w:rsidR="00552DCA" w:rsidRPr="003067D2" w:rsidRDefault="00552DCA" w:rsidP="00603E5D">
            <w:pPr>
              <w:pStyle w:val="StandardowytekstZnak"/>
            </w:pPr>
            <w:r w:rsidRPr="003067D2">
              <w:t>1.</w:t>
            </w:r>
          </w:p>
        </w:tc>
        <w:tc>
          <w:tcPr>
            <w:tcW w:w="1876" w:type="dxa"/>
          </w:tcPr>
          <w:p w:rsidR="00552DCA" w:rsidRPr="003067D2" w:rsidRDefault="00552DCA" w:rsidP="00603E5D">
            <w:pPr>
              <w:pStyle w:val="StandardowytekstZnak"/>
            </w:pPr>
            <w:r w:rsidRPr="003067D2">
              <w:t>PN-S-02205:1998</w:t>
            </w:r>
          </w:p>
        </w:tc>
        <w:tc>
          <w:tcPr>
            <w:tcW w:w="7200" w:type="dxa"/>
          </w:tcPr>
          <w:p w:rsidR="00552DCA" w:rsidRPr="003067D2" w:rsidRDefault="00552DCA" w:rsidP="00603E5D">
            <w:pPr>
              <w:pStyle w:val="StandardowytekstZnak"/>
            </w:pPr>
            <w:r w:rsidRPr="003067D2">
              <w:t>Drogi samochodowe. Roboty ziemne. Wymagania i badania</w:t>
            </w:r>
          </w:p>
        </w:tc>
      </w:tr>
    </w:tbl>
    <w:p w:rsidR="00552DCA" w:rsidRPr="003067D2" w:rsidRDefault="00552DCA" w:rsidP="00552DCA">
      <w:pPr>
        <w:pStyle w:val="tekstost"/>
        <w:rPr>
          <w:b/>
          <w:u w:val="single"/>
        </w:rPr>
      </w:pPr>
      <w:r w:rsidRPr="003067D2">
        <w:rPr>
          <w:b/>
          <w:u w:val="single"/>
        </w:rPr>
        <w:t>10.2. Inne dokumenty</w:t>
      </w:r>
    </w:p>
    <w:p w:rsidR="00552DCA" w:rsidRPr="003067D2" w:rsidRDefault="00552DCA" w:rsidP="00552DCA">
      <w:pPr>
        <w:pStyle w:val="StandardowytekstZnak"/>
        <w:numPr>
          <w:ilvl w:val="0"/>
          <w:numId w:val="3"/>
        </w:numPr>
        <w:tabs>
          <w:tab w:val="left" w:pos="426"/>
        </w:tabs>
      </w:pPr>
      <w:r w:rsidRPr="003067D2">
        <w:t xml:space="preserve">Wykonanie i odbiór robót ziemnych dla dróg szybkiego ruchu, </w:t>
      </w:r>
      <w:proofErr w:type="spellStart"/>
      <w:r w:rsidRPr="003067D2">
        <w:t>IBDiM</w:t>
      </w:r>
      <w:proofErr w:type="spellEnd"/>
      <w:r w:rsidRPr="003067D2">
        <w:t>, Warszawa 1978.</w:t>
      </w:r>
    </w:p>
    <w:p w:rsidR="00552DCA" w:rsidRPr="003067D2" w:rsidRDefault="00552DCA" w:rsidP="00552DCA">
      <w:pPr>
        <w:pStyle w:val="StandardowytekstZnak"/>
        <w:numPr>
          <w:ilvl w:val="0"/>
          <w:numId w:val="3"/>
        </w:numPr>
        <w:tabs>
          <w:tab w:val="left" w:pos="426"/>
        </w:tabs>
      </w:pPr>
      <w:r w:rsidRPr="003067D2">
        <w:t xml:space="preserve">Instrukcja badań podłoża gruntowego budowli drogowych i mostowych, </w:t>
      </w:r>
      <w:proofErr w:type="spellStart"/>
      <w:r w:rsidRPr="003067D2">
        <w:t>GDDP,Warszawa</w:t>
      </w:r>
      <w:proofErr w:type="spellEnd"/>
      <w:r w:rsidRPr="003067D2">
        <w:t xml:space="preserve"> 1998.</w:t>
      </w:r>
    </w:p>
    <w:p w:rsidR="00552DCA" w:rsidRPr="003067D2" w:rsidRDefault="00552DCA" w:rsidP="00552DCA">
      <w:pPr>
        <w:pStyle w:val="StandardowytekstZnak"/>
        <w:numPr>
          <w:ilvl w:val="0"/>
          <w:numId w:val="3"/>
        </w:numPr>
        <w:tabs>
          <w:tab w:val="left" w:pos="426"/>
        </w:tabs>
      </w:pPr>
      <w:r w:rsidRPr="003067D2">
        <w:t xml:space="preserve">Katalog typowych konstrukcji nawierzchni podatnych i półsztywnych, </w:t>
      </w:r>
      <w:proofErr w:type="spellStart"/>
      <w:r w:rsidRPr="003067D2">
        <w:t>IBDiM</w:t>
      </w:r>
      <w:proofErr w:type="spellEnd"/>
      <w:r w:rsidRPr="003067D2">
        <w:t>, Warszawa 2014.</w:t>
      </w:r>
    </w:p>
    <w:p w:rsidR="00552DCA" w:rsidRPr="003067D2" w:rsidRDefault="00552DCA" w:rsidP="00552DCA">
      <w:pPr>
        <w:pStyle w:val="StandardowytekstZnak"/>
        <w:numPr>
          <w:ilvl w:val="0"/>
          <w:numId w:val="3"/>
        </w:numPr>
        <w:tabs>
          <w:tab w:val="left" w:pos="426"/>
        </w:tabs>
      </w:pPr>
      <w:r w:rsidRPr="003067D2">
        <w:t xml:space="preserve">Wytyczne wzmacniania podłoża gruntowego w budownictwie drogowym, </w:t>
      </w:r>
      <w:proofErr w:type="spellStart"/>
      <w:r w:rsidRPr="003067D2">
        <w:t>IBDiM</w:t>
      </w:r>
      <w:proofErr w:type="spellEnd"/>
      <w:r w:rsidRPr="003067D2">
        <w:t>, Warszawa 2002.</w:t>
      </w:r>
    </w:p>
    <w:p w:rsidR="00552DCA" w:rsidRDefault="00552DCA" w:rsidP="00552DCA">
      <w:pPr>
        <w:jc w:val="both"/>
        <w:rPr>
          <w:b/>
        </w:rPr>
      </w:pPr>
    </w:p>
    <w:p w:rsidR="00402067" w:rsidRDefault="00402067"/>
    <w:sectPr w:rsidR="0040206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8A5" w:rsidRDefault="00BA78A5" w:rsidP="00116E83">
      <w:r>
        <w:separator/>
      </w:r>
    </w:p>
  </w:endnote>
  <w:endnote w:type="continuationSeparator" w:id="0">
    <w:p w:rsidR="00BA78A5" w:rsidRDefault="00BA78A5" w:rsidP="0011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8A5" w:rsidRDefault="00BA78A5" w:rsidP="00116E83">
      <w:r>
        <w:separator/>
      </w:r>
    </w:p>
  </w:footnote>
  <w:footnote w:type="continuationSeparator" w:id="0">
    <w:p w:rsidR="00BA78A5" w:rsidRDefault="00BA78A5" w:rsidP="0011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72A" w:rsidRDefault="00D41C0B">
    <w:pPr>
      <w:pStyle w:val="Nagwek"/>
    </w:pPr>
    <w:r w:rsidRPr="00D41C0B">
      <w:rPr>
        <w:rFonts w:ascii="Arial Narrow" w:hAnsi="Arial Narrow"/>
        <w:b/>
        <w:bCs/>
        <w:sz w:val="28"/>
        <w:szCs w:val="40"/>
      </w:rPr>
      <w:t xml:space="preserve">Przebudowa drogi gminnej nr. </w:t>
    </w:r>
    <w:proofErr w:type="spellStart"/>
    <w:r w:rsidRPr="00D41C0B">
      <w:rPr>
        <w:rFonts w:ascii="Arial Narrow" w:hAnsi="Arial Narrow"/>
        <w:b/>
        <w:bCs/>
        <w:sz w:val="28"/>
        <w:szCs w:val="40"/>
      </w:rPr>
      <w:t>ewid</w:t>
    </w:r>
    <w:proofErr w:type="spellEnd"/>
    <w:r w:rsidRPr="00D41C0B">
      <w:rPr>
        <w:rFonts w:ascii="Arial Narrow" w:hAnsi="Arial Narrow"/>
        <w:b/>
        <w:bCs/>
        <w:sz w:val="28"/>
        <w:szCs w:val="40"/>
      </w:rPr>
      <w:t>. 268, 527, 528  Rzeczyca Mokra - Gerlachów w km 0+000 do km 0+870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6F2043"/>
    <w:multiLevelType w:val="multilevel"/>
    <w:tmpl w:val="40CAFC62"/>
    <w:lvl w:ilvl="0">
      <w:start w:val="2"/>
      <w:numFmt w:val="decimal"/>
      <w:lvlText w:val="%1."/>
      <w:lvlJc w:val="left"/>
      <w:pPr>
        <w:tabs>
          <w:tab w:val="num" w:pos="360"/>
        </w:tabs>
        <w:ind w:left="360" w:hanging="360"/>
      </w:pPr>
      <w:rPr>
        <w:b w:val="0"/>
        <w:i w:val="0"/>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52B77C1B"/>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
    <w:nsid w:val="69AE0747"/>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01F"/>
    <w:rsid w:val="00116E83"/>
    <w:rsid w:val="0016601F"/>
    <w:rsid w:val="002C085C"/>
    <w:rsid w:val="00402067"/>
    <w:rsid w:val="00552DCA"/>
    <w:rsid w:val="00592E18"/>
    <w:rsid w:val="0062372A"/>
    <w:rsid w:val="006C5C35"/>
    <w:rsid w:val="00B928BD"/>
    <w:rsid w:val="00BA78A5"/>
    <w:rsid w:val="00BD3169"/>
    <w:rsid w:val="00D41C0B"/>
    <w:rsid w:val="00D556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552DCA"/>
    <w:pPr>
      <w:spacing w:after="0" w:line="240" w:lineRule="auto"/>
    </w:pPr>
    <w:rPr>
      <w:rFonts w:ascii="Times New Roman" w:eastAsia="Times New Roman" w:hAnsi="Times New Roman" w:cs="Times New Roman"/>
      <w:sz w:val="20"/>
      <w:szCs w:val="24"/>
      <w:lang w:eastAsia="pl-PL"/>
    </w:rPr>
  </w:style>
  <w:style w:type="paragraph" w:styleId="Nagwek2">
    <w:name w:val="heading 2"/>
    <w:aliases w:val="SST Nagłówek,Znak6, Znak6"/>
    <w:basedOn w:val="Normalny"/>
    <w:next w:val="Normalny"/>
    <w:link w:val="Nagwek2Znak"/>
    <w:qFormat/>
    <w:rsid w:val="00552DCA"/>
    <w:pPr>
      <w:keepNext/>
      <w:outlineLvl w:val="1"/>
    </w:pPr>
    <w:rPr>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SST Nagłówek Znak,Znak6 Znak, Znak6 Znak"/>
    <w:basedOn w:val="Domylnaczcionkaakapitu"/>
    <w:link w:val="Nagwek2"/>
    <w:rsid w:val="00552DCA"/>
    <w:rPr>
      <w:rFonts w:ascii="Times New Roman" w:eastAsia="Times New Roman" w:hAnsi="Times New Roman" w:cs="Times New Roman"/>
      <w:b/>
      <w:sz w:val="24"/>
      <w:szCs w:val="20"/>
      <w:lang w:val="x-none" w:eastAsia="x-none"/>
    </w:rPr>
  </w:style>
  <w:style w:type="paragraph" w:customStyle="1" w:styleId="tekstost">
    <w:name w:val="tekst ost"/>
    <w:basedOn w:val="Normalny"/>
    <w:rsid w:val="00552DCA"/>
    <w:pPr>
      <w:jc w:val="both"/>
    </w:pPr>
    <w:rPr>
      <w:szCs w:val="20"/>
    </w:rPr>
  </w:style>
  <w:style w:type="paragraph" w:customStyle="1" w:styleId="StandardowytekstZnakZnakZnakZnakZnakZnak">
    <w:name w:val="Standardowy.tekst Znak Znak Znak Znak Znak Znak"/>
    <w:rsid w:val="00552DC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
    <w:name w:val="Body Text"/>
    <w:aliases w:val=" Znak10, Znak3 Znak Znak Znak Znak Znak, Znak3 Znak Znak Znak Znak Znak Znak Zna"/>
    <w:basedOn w:val="Normalny"/>
    <w:link w:val="TekstpodstawowyZnak"/>
    <w:rsid w:val="00552DCA"/>
    <w:pPr>
      <w:tabs>
        <w:tab w:val="left" w:pos="1008"/>
        <w:tab w:val="left" w:pos="7459"/>
      </w:tabs>
    </w:pPr>
    <w:rPr>
      <w:rFonts w:ascii="Arial" w:hAnsi="Arial"/>
      <w:b/>
      <w:snapToGrid w:val="0"/>
      <w:color w:val="000000"/>
      <w:szCs w:val="20"/>
      <w:lang w:val="x-none" w:eastAsia="x-none"/>
    </w:rPr>
  </w:style>
  <w:style w:type="character" w:customStyle="1" w:styleId="TekstpodstawowyZnak">
    <w:name w:val="Tekst podstawowy Znak"/>
    <w:aliases w:val=" Znak10 Znak, Znak3 Znak Znak Znak Znak Znak Znak, Znak3 Znak Znak Znak Znak Znak Znak Zna Znak"/>
    <w:basedOn w:val="Domylnaczcionkaakapitu"/>
    <w:link w:val="Tekstpodstawowy"/>
    <w:rsid w:val="00552DCA"/>
    <w:rPr>
      <w:rFonts w:ascii="Arial" w:eastAsia="Times New Roman" w:hAnsi="Arial" w:cs="Times New Roman"/>
      <w:b/>
      <w:snapToGrid w:val="0"/>
      <w:color w:val="000000"/>
      <w:sz w:val="20"/>
      <w:szCs w:val="20"/>
      <w:lang w:val="x-none" w:eastAsia="x-none"/>
    </w:rPr>
  </w:style>
  <w:style w:type="paragraph" w:styleId="Zwykytekst">
    <w:name w:val="Plain Text"/>
    <w:basedOn w:val="Normalny"/>
    <w:link w:val="ZwykytekstZnak"/>
    <w:rsid w:val="00552DCA"/>
    <w:rPr>
      <w:rFonts w:ascii="Courier New" w:hAnsi="Courier New"/>
      <w:szCs w:val="20"/>
      <w:lang w:val="x-none" w:eastAsia="x-none"/>
    </w:rPr>
  </w:style>
  <w:style w:type="character" w:customStyle="1" w:styleId="ZwykytekstZnak">
    <w:name w:val="Zwykły tekst Znak"/>
    <w:basedOn w:val="Domylnaczcionkaakapitu"/>
    <w:link w:val="Zwykytekst"/>
    <w:rsid w:val="00552DCA"/>
    <w:rPr>
      <w:rFonts w:ascii="Courier New" w:eastAsia="Times New Roman" w:hAnsi="Courier New" w:cs="Times New Roman"/>
      <w:sz w:val="20"/>
      <w:szCs w:val="20"/>
      <w:lang w:val="x-none" w:eastAsia="x-none"/>
    </w:rPr>
  </w:style>
  <w:style w:type="paragraph" w:customStyle="1" w:styleId="StandardowytekstZnak">
    <w:name w:val="Standardowy.tekst Znak"/>
    <w:rsid w:val="00552DC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552DCA"/>
    <w:rPr>
      <w:rFonts w:ascii="Tahoma" w:hAnsi="Tahoma" w:cs="Tahoma"/>
      <w:sz w:val="16"/>
      <w:szCs w:val="16"/>
    </w:rPr>
  </w:style>
  <w:style w:type="character" w:customStyle="1" w:styleId="TekstdymkaZnak">
    <w:name w:val="Tekst dymka Znak"/>
    <w:basedOn w:val="Domylnaczcionkaakapitu"/>
    <w:link w:val="Tekstdymka"/>
    <w:uiPriority w:val="99"/>
    <w:semiHidden/>
    <w:rsid w:val="00552DCA"/>
    <w:rPr>
      <w:rFonts w:ascii="Tahoma" w:eastAsia="Times New Roman" w:hAnsi="Tahoma" w:cs="Tahoma"/>
      <w:sz w:val="16"/>
      <w:szCs w:val="16"/>
      <w:lang w:eastAsia="pl-PL"/>
    </w:rPr>
  </w:style>
  <w:style w:type="paragraph" w:styleId="Nagwek">
    <w:name w:val="header"/>
    <w:basedOn w:val="Normalny"/>
    <w:link w:val="NagwekZnak"/>
    <w:uiPriority w:val="99"/>
    <w:unhideWhenUsed/>
    <w:rsid w:val="00116E83"/>
    <w:pPr>
      <w:tabs>
        <w:tab w:val="center" w:pos="4536"/>
        <w:tab w:val="right" w:pos="9072"/>
      </w:tabs>
    </w:pPr>
  </w:style>
  <w:style w:type="character" w:customStyle="1" w:styleId="NagwekZnak">
    <w:name w:val="Nagłówek Znak"/>
    <w:basedOn w:val="Domylnaczcionkaakapitu"/>
    <w:link w:val="Nagwek"/>
    <w:uiPriority w:val="99"/>
    <w:rsid w:val="00116E83"/>
    <w:rPr>
      <w:rFonts w:ascii="Times New Roman" w:eastAsia="Times New Roman" w:hAnsi="Times New Roman" w:cs="Times New Roman"/>
      <w:sz w:val="20"/>
      <w:szCs w:val="24"/>
      <w:lang w:eastAsia="pl-PL"/>
    </w:rPr>
  </w:style>
  <w:style w:type="paragraph" w:styleId="Stopka">
    <w:name w:val="footer"/>
    <w:basedOn w:val="Normalny"/>
    <w:link w:val="StopkaZnak"/>
    <w:uiPriority w:val="99"/>
    <w:unhideWhenUsed/>
    <w:rsid w:val="00116E83"/>
    <w:pPr>
      <w:tabs>
        <w:tab w:val="center" w:pos="4536"/>
        <w:tab w:val="right" w:pos="9072"/>
      </w:tabs>
    </w:pPr>
  </w:style>
  <w:style w:type="character" w:customStyle="1" w:styleId="StopkaZnak">
    <w:name w:val="Stopka Znak"/>
    <w:basedOn w:val="Domylnaczcionkaakapitu"/>
    <w:link w:val="Stopka"/>
    <w:uiPriority w:val="99"/>
    <w:rsid w:val="00116E83"/>
    <w:rPr>
      <w:rFonts w:ascii="Times New Roman" w:eastAsia="Times New Roman" w:hAnsi="Times New Roman" w:cs="Times New Roman"/>
      <w:sz w:val="20"/>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552DCA"/>
    <w:pPr>
      <w:spacing w:after="0" w:line="240" w:lineRule="auto"/>
    </w:pPr>
    <w:rPr>
      <w:rFonts w:ascii="Times New Roman" w:eastAsia="Times New Roman" w:hAnsi="Times New Roman" w:cs="Times New Roman"/>
      <w:sz w:val="20"/>
      <w:szCs w:val="24"/>
      <w:lang w:eastAsia="pl-PL"/>
    </w:rPr>
  </w:style>
  <w:style w:type="paragraph" w:styleId="Nagwek2">
    <w:name w:val="heading 2"/>
    <w:aliases w:val="SST Nagłówek,Znak6, Znak6"/>
    <w:basedOn w:val="Normalny"/>
    <w:next w:val="Normalny"/>
    <w:link w:val="Nagwek2Znak"/>
    <w:qFormat/>
    <w:rsid w:val="00552DCA"/>
    <w:pPr>
      <w:keepNext/>
      <w:outlineLvl w:val="1"/>
    </w:pPr>
    <w:rPr>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SST Nagłówek Znak,Znak6 Znak, Znak6 Znak"/>
    <w:basedOn w:val="Domylnaczcionkaakapitu"/>
    <w:link w:val="Nagwek2"/>
    <w:rsid w:val="00552DCA"/>
    <w:rPr>
      <w:rFonts w:ascii="Times New Roman" w:eastAsia="Times New Roman" w:hAnsi="Times New Roman" w:cs="Times New Roman"/>
      <w:b/>
      <w:sz w:val="24"/>
      <w:szCs w:val="20"/>
      <w:lang w:val="x-none" w:eastAsia="x-none"/>
    </w:rPr>
  </w:style>
  <w:style w:type="paragraph" w:customStyle="1" w:styleId="tekstost">
    <w:name w:val="tekst ost"/>
    <w:basedOn w:val="Normalny"/>
    <w:rsid w:val="00552DCA"/>
    <w:pPr>
      <w:jc w:val="both"/>
    </w:pPr>
    <w:rPr>
      <w:szCs w:val="20"/>
    </w:rPr>
  </w:style>
  <w:style w:type="paragraph" w:customStyle="1" w:styleId="StandardowytekstZnakZnakZnakZnakZnakZnak">
    <w:name w:val="Standardowy.tekst Znak Znak Znak Znak Znak Znak"/>
    <w:rsid w:val="00552DC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
    <w:name w:val="Body Text"/>
    <w:aliases w:val=" Znak10, Znak3 Znak Znak Znak Znak Znak, Znak3 Znak Znak Znak Znak Znak Znak Zna"/>
    <w:basedOn w:val="Normalny"/>
    <w:link w:val="TekstpodstawowyZnak"/>
    <w:rsid w:val="00552DCA"/>
    <w:pPr>
      <w:tabs>
        <w:tab w:val="left" w:pos="1008"/>
        <w:tab w:val="left" w:pos="7459"/>
      </w:tabs>
    </w:pPr>
    <w:rPr>
      <w:rFonts w:ascii="Arial" w:hAnsi="Arial"/>
      <w:b/>
      <w:snapToGrid w:val="0"/>
      <w:color w:val="000000"/>
      <w:szCs w:val="20"/>
      <w:lang w:val="x-none" w:eastAsia="x-none"/>
    </w:rPr>
  </w:style>
  <w:style w:type="character" w:customStyle="1" w:styleId="TekstpodstawowyZnak">
    <w:name w:val="Tekst podstawowy Znak"/>
    <w:aliases w:val=" Znak10 Znak, Znak3 Znak Znak Znak Znak Znak Znak, Znak3 Znak Znak Znak Znak Znak Znak Zna Znak"/>
    <w:basedOn w:val="Domylnaczcionkaakapitu"/>
    <w:link w:val="Tekstpodstawowy"/>
    <w:rsid w:val="00552DCA"/>
    <w:rPr>
      <w:rFonts w:ascii="Arial" w:eastAsia="Times New Roman" w:hAnsi="Arial" w:cs="Times New Roman"/>
      <w:b/>
      <w:snapToGrid w:val="0"/>
      <w:color w:val="000000"/>
      <w:sz w:val="20"/>
      <w:szCs w:val="20"/>
      <w:lang w:val="x-none" w:eastAsia="x-none"/>
    </w:rPr>
  </w:style>
  <w:style w:type="paragraph" w:styleId="Zwykytekst">
    <w:name w:val="Plain Text"/>
    <w:basedOn w:val="Normalny"/>
    <w:link w:val="ZwykytekstZnak"/>
    <w:rsid w:val="00552DCA"/>
    <w:rPr>
      <w:rFonts w:ascii="Courier New" w:hAnsi="Courier New"/>
      <w:szCs w:val="20"/>
      <w:lang w:val="x-none" w:eastAsia="x-none"/>
    </w:rPr>
  </w:style>
  <w:style w:type="character" w:customStyle="1" w:styleId="ZwykytekstZnak">
    <w:name w:val="Zwykły tekst Znak"/>
    <w:basedOn w:val="Domylnaczcionkaakapitu"/>
    <w:link w:val="Zwykytekst"/>
    <w:rsid w:val="00552DCA"/>
    <w:rPr>
      <w:rFonts w:ascii="Courier New" w:eastAsia="Times New Roman" w:hAnsi="Courier New" w:cs="Times New Roman"/>
      <w:sz w:val="20"/>
      <w:szCs w:val="20"/>
      <w:lang w:val="x-none" w:eastAsia="x-none"/>
    </w:rPr>
  </w:style>
  <w:style w:type="paragraph" w:customStyle="1" w:styleId="StandardowytekstZnak">
    <w:name w:val="Standardowy.tekst Znak"/>
    <w:rsid w:val="00552DC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552DCA"/>
    <w:rPr>
      <w:rFonts w:ascii="Tahoma" w:hAnsi="Tahoma" w:cs="Tahoma"/>
      <w:sz w:val="16"/>
      <w:szCs w:val="16"/>
    </w:rPr>
  </w:style>
  <w:style w:type="character" w:customStyle="1" w:styleId="TekstdymkaZnak">
    <w:name w:val="Tekst dymka Znak"/>
    <w:basedOn w:val="Domylnaczcionkaakapitu"/>
    <w:link w:val="Tekstdymka"/>
    <w:uiPriority w:val="99"/>
    <w:semiHidden/>
    <w:rsid w:val="00552DCA"/>
    <w:rPr>
      <w:rFonts w:ascii="Tahoma" w:eastAsia="Times New Roman" w:hAnsi="Tahoma" w:cs="Tahoma"/>
      <w:sz w:val="16"/>
      <w:szCs w:val="16"/>
      <w:lang w:eastAsia="pl-PL"/>
    </w:rPr>
  </w:style>
  <w:style w:type="paragraph" w:styleId="Nagwek">
    <w:name w:val="header"/>
    <w:basedOn w:val="Normalny"/>
    <w:link w:val="NagwekZnak"/>
    <w:uiPriority w:val="99"/>
    <w:unhideWhenUsed/>
    <w:rsid w:val="00116E83"/>
    <w:pPr>
      <w:tabs>
        <w:tab w:val="center" w:pos="4536"/>
        <w:tab w:val="right" w:pos="9072"/>
      </w:tabs>
    </w:pPr>
  </w:style>
  <w:style w:type="character" w:customStyle="1" w:styleId="NagwekZnak">
    <w:name w:val="Nagłówek Znak"/>
    <w:basedOn w:val="Domylnaczcionkaakapitu"/>
    <w:link w:val="Nagwek"/>
    <w:uiPriority w:val="99"/>
    <w:rsid w:val="00116E83"/>
    <w:rPr>
      <w:rFonts w:ascii="Times New Roman" w:eastAsia="Times New Roman" w:hAnsi="Times New Roman" w:cs="Times New Roman"/>
      <w:sz w:val="20"/>
      <w:szCs w:val="24"/>
      <w:lang w:eastAsia="pl-PL"/>
    </w:rPr>
  </w:style>
  <w:style w:type="paragraph" w:styleId="Stopka">
    <w:name w:val="footer"/>
    <w:basedOn w:val="Normalny"/>
    <w:link w:val="StopkaZnak"/>
    <w:uiPriority w:val="99"/>
    <w:unhideWhenUsed/>
    <w:rsid w:val="00116E83"/>
    <w:pPr>
      <w:tabs>
        <w:tab w:val="center" w:pos="4536"/>
        <w:tab w:val="right" w:pos="9072"/>
      </w:tabs>
    </w:pPr>
  </w:style>
  <w:style w:type="character" w:customStyle="1" w:styleId="StopkaZnak">
    <w:name w:val="Stopka Znak"/>
    <w:basedOn w:val="Domylnaczcionkaakapitu"/>
    <w:link w:val="Stopka"/>
    <w:uiPriority w:val="99"/>
    <w:rsid w:val="00116E83"/>
    <w:rPr>
      <w:rFonts w:ascii="Times New Roman" w:eastAsia="Times New Roman" w:hAnsi="Times New Roman" w:cs="Times New Roman"/>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850161">
      <w:bodyDiv w:val="1"/>
      <w:marLeft w:val="0"/>
      <w:marRight w:val="0"/>
      <w:marTop w:val="0"/>
      <w:marBottom w:val="0"/>
      <w:divBdr>
        <w:top w:val="none" w:sz="0" w:space="0" w:color="auto"/>
        <w:left w:val="none" w:sz="0" w:space="0" w:color="auto"/>
        <w:bottom w:val="none" w:sz="0" w:space="0" w:color="auto"/>
        <w:right w:val="none" w:sz="0" w:space="0" w:color="auto"/>
      </w:divBdr>
    </w:div>
    <w:div w:id="1564756194">
      <w:bodyDiv w:val="1"/>
      <w:marLeft w:val="0"/>
      <w:marRight w:val="0"/>
      <w:marTop w:val="0"/>
      <w:marBottom w:val="0"/>
      <w:divBdr>
        <w:top w:val="none" w:sz="0" w:space="0" w:color="auto"/>
        <w:left w:val="none" w:sz="0" w:space="0" w:color="auto"/>
        <w:bottom w:val="none" w:sz="0" w:space="0" w:color="auto"/>
        <w:right w:val="none" w:sz="0" w:space="0" w:color="auto"/>
      </w:divBdr>
    </w:div>
    <w:div w:id="205974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877</Words>
  <Characters>5266</Characters>
  <Application>Microsoft Office Word</Application>
  <DocSecurity>0</DocSecurity>
  <Lines>43</Lines>
  <Paragraphs>12</Paragraphs>
  <ScaleCrop>false</ScaleCrop>
  <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darek</dc:creator>
  <cp:keywords/>
  <dc:description/>
  <cp:lastModifiedBy>darek</cp:lastModifiedBy>
  <cp:revision>8</cp:revision>
  <dcterms:created xsi:type="dcterms:W3CDTF">2019-03-11T18:26:00Z</dcterms:created>
  <dcterms:modified xsi:type="dcterms:W3CDTF">2019-03-18T20:24:00Z</dcterms:modified>
</cp:coreProperties>
</file>